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EFDC4A" w14:textId="77777777" w:rsidR="00AF327F" w:rsidRPr="00AF327F" w:rsidRDefault="00AF327F" w:rsidP="002E558A">
      <w:pPr>
        <w:ind w:left="2832" w:firstLine="708"/>
        <w:rPr>
          <w:u w:val="single"/>
        </w:rPr>
      </w:pPr>
      <w:r w:rsidRPr="00AF327F">
        <w:rPr>
          <w:u w:val="single"/>
        </w:rPr>
        <w:t>Bordereau de Soumission</w:t>
      </w:r>
    </w:p>
    <w:p w14:paraId="58E2D18E" w14:textId="6FBE79BE" w:rsidR="00AF327F" w:rsidRPr="00AF327F" w:rsidRDefault="00AF327F" w:rsidP="00AF327F">
      <w:pPr>
        <w:jc w:val="center"/>
        <w:rPr>
          <w:u w:val="single"/>
        </w:rPr>
      </w:pPr>
      <w:r w:rsidRPr="00AF327F">
        <w:rPr>
          <w:u w:val="single"/>
        </w:rPr>
        <w:t xml:space="preserve">Ligne de vie </w:t>
      </w:r>
      <w:r w:rsidR="005D4371">
        <w:rPr>
          <w:u w:val="single"/>
        </w:rPr>
        <w:t>à rail</w:t>
      </w:r>
      <w:r w:rsidR="00BB4DD9">
        <w:rPr>
          <w:u w:val="single"/>
        </w:rPr>
        <w:t xml:space="preserve"> au </w:t>
      </w:r>
      <w:r w:rsidR="00411E9F">
        <w:rPr>
          <w:u w:val="single"/>
        </w:rPr>
        <w:t>plafond</w:t>
      </w:r>
    </w:p>
    <w:p w14:paraId="38F3CD6B" w14:textId="4E1889A1" w:rsidR="00CB0A79" w:rsidRPr="00E558AF" w:rsidRDefault="00CB0A79">
      <w:pPr>
        <w:rPr>
          <w:b/>
        </w:rPr>
      </w:pPr>
      <w:r w:rsidRPr="00E558AF">
        <w:rPr>
          <w:b/>
        </w:rPr>
        <w:t xml:space="preserve">Pos. XX.XXX : Ligne de vie à </w:t>
      </w:r>
      <w:r w:rsidR="005D4371">
        <w:rPr>
          <w:b/>
        </w:rPr>
        <w:t>rail</w:t>
      </w:r>
    </w:p>
    <w:p w14:paraId="7C1C64FF" w14:textId="3FF34A69" w:rsidR="001C3E14" w:rsidRDefault="001C3E14" w:rsidP="001C3E14">
      <w:r>
        <w:t>La ligne de vie</w:t>
      </w:r>
      <w:r w:rsidR="005D4371">
        <w:t xml:space="preserve"> antichute </w:t>
      </w:r>
      <w:proofErr w:type="spellStart"/>
      <w:r w:rsidR="00411E9F">
        <w:t>SafeAccess</w:t>
      </w:r>
      <w:proofErr w:type="spellEnd"/>
      <w:r w:rsidR="00411E9F">
        <w:t xml:space="preserve"> </w:t>
      </w:r>
      <w:r>
        <w:t>est conforme à la norme EN</w:t>
      </w:r>
      <w:proofErr w:type="gramStart"/>
      <w:r>
        <w:t>795:</w:t>
      </w:r>
      <w:proofErr w:type="gramEnd"/>
      <w:r>
        <w:t xml:space="preserve"> 2012 Type </w:t>
      </w:r>
      <w:r w:rsidR="005D4371">
        <w:t>D</w:t>
      </w:r>
      <w:r>
        <w:t xml:space="preserve"> et à la spécification technique TS16415 : 2013. </w:t>
      </w:r>
      <w:r w:rsidR="00840AAB">
        <w:t xml:space="preserve">Le rail peut être utilisé par </w:t>
      </w:r>
      <w:r w:rsidR="00411E9F">
        <w:t>2 à 4</w:t>
      </w:r>
      <w:r w:rsidR="00840AAB">
        <w:t xml:space="preserve"> utilisateurs simultanément entre deux supports. </w:t>
      </w:r>
    </w:p>
    <w:p w14:paraId="79229612" w14:textId="643E046E" w:rsidR="00411E9F" w:rsidRDefault="00411E9F" w:rsidP="001C3E14">
      <w:r>
        <w:t>Le rail est certifié ATEX</w:t>
      </w:r>
      <w:r w:rsidR="00ED48F2">
        <w:t xml:space="preserve"> Catégorie 2</w:t>
      </w:r>
      <w:r>
        <w:t xml:space="preserve"> </w:t>
      </w:r>
      <w:r w:rsidR="00ED48F2">
        <w:t xml:space="preserve">pour environnement explosifs en milieu </w:t>
      </w:r>
      <w:r>
        <w:t>industriel et pétrochimique</w:t>
      </w:r>
      <w:r w:rsidR="00ED48F2">
        <w:t xml:space="preserve">. </w:t>
      </w:r>
      <w:r>
        <w:t xml:space="preserve"> </w:t>
      </w:r>
    </w:p>
    <w:p w14:paraId="315A215F" w14:textId="287623C3" w:rsidR="00411E9F" w:rsidRDefault="00411E9F" w:rsidP="001C3E14">
      <w:r>
        <w:t xml:space="preserve">Le rail </w:t>
      </w:r>
      <w:proofErr w:type="spellStart"/>
      <w:r>
        <w:t>SafeAccess</w:t>
      </w:r>
      <w:proofErr w:type="spellEnd"/>
      <w:r>
        <w:t xml:space="preserve"> est idéal pour configurations intensive (ex : quais de déchargement) et les configurations où il y a une grande distance entre le rail et l’utilisateur. </w:t>
      </w:r>
      <w:r w:rsidR="00D238E8">
        <w:t xml:space="preserve">Le rail </w:t>
      </w:r>
      <w:proofErr w:type="spellStart"/>
      <w:r w:rsidR="00D238E8">
        <w:t>SafeAccess</w:t>
      </w:r>
      <w:proofErr w:type="spellEnd"/>
      <w:r w:rsidR="00D238E8">
        <w:t xml:space="preserve"> est toujours installé au plafond, afin de limiter la distance d’arrêt d’une chute. </w:t>
      </w:r>
    </w:p>
    <w:p w14:paraId="7EA538A8" w14:textId="55F22A5A" w:rsidR="00840AAB" w:rsidRDefault="00840AAB" w:rsidP="001C3E14">
      <w:r>
        <w:t xml:space="preserve">Le rail est en aluminium 6060 </w:t>
      </w:r>
      <w:r w:rsidR="00411E9F">
        <w:t xml:space="preserve">thermolaqué RAL7040 </w:t>
      </w:r>
      <w:proofErr w:type="spellStart"/>
      <w:r w:rsidR="00411E9F">
        <w:t>Qualicoat</w:t>
      </w:r>
      <w:proofErr w:type="spellEnd"/>
      <w:r w:rsidR="00411E9F">
        <w:t xml:space="preserve"> classe 1 catégorie 3.</w:t>
      </w:r>
      <w:r>
        <w:t xml:space="preserve"> Grâce au traitement de surface le rail peut être installé en milieu marin.  Les éléments du rail sont liés par des jonctions à haute résistance en aluminium 6062. Ces jonctions </w:t>
      </w:r>
      <w:r w:rsidR="00411E9F">
        <w:t xml:space="preserve">sont </w:t>
      </w:r>
      <w:r w:rsidR="00D238E8">
        <w:t>rivetées</w:t>
      </w:r>
      <w:r w:rsidR="00411E9F">
        <w:t xml:space="preserve">, afin d’éviter tout desserrement. </w:t>
      </w:r>
    </w:p>
    <w:p w14:paraId="437F4B59" w14:textId="3E097AEB" w:rsidR="00840AAB" w:rsidRDefault="00840AAB" w:rsidP="001C3E14">
      <w:r>
        <w:t xml:space="preserve"> A chaque extrémité du rail est installé</w:t>
      </w:r>
      <w:r w:rsidR="0035129C">
        <w:t>e</w:t>
      </w:r>
      <w:r>
        <w:t xml:space="preserve"> une butée de fin de course fixe ou escamotable. </w:t>
      </w:r>
    </w:p>
    <w:p w14:paraId="76BC1125" w14:textId="637CEBC9" w:rsidR="00840AAB" w:rsidRDefault="00840AAB" w:rsidP="007F3FBC">
      <w:pPr>
        <w:spacing w:after="0"/>
      </w:pPr>
      <w:r>
        <w:t>Le rail est certifié pour une portée de 6000mm</w:t>
      </w:r>
      <w:r w:rsidR="004C5C4B">
        <w:t xml:space="preserve"> entre supports.  </w:t>
      </w:r>
      <w:r>
        <w:t xml:space="preserve"> </w:t>
      </w:r>
    </w:p>
    <w:p w14:paraId="436E6BD0" w14:textId="1E6595B4" w:rsidR="007F3FBC" w:rsidRDefault="007F3FBC" w:rsidP="007F3FBC">
      <w:r>
        <w:t xml:space="preserve">La déflection maximale en cas de chute est de </w:t>
      </w:r>
      <w:bookmarkStart w:id="0" w:name="_GoBack"/>
      <w:bookmarkEnd w:id="0"/>
      <w:r w:rsidR="00411E9F">
        <w:t>5</w:t>
      </w:r>
      <w:r>
        <w:t xml:space="preserve">0mm.  La force maximale transmise au rail en cas de chute </w:t>
      </w:r>
      <w:r w:rsidR="00411E9F">
        <w:t xml:space="preserve">simultanée de 4 utilisateurs </w:t>
      </w:r>
      <w:r>
        <w:t xml:space="preserve">est de </w:t>
      </w:r>
      <w:r w:rsidR="00411E9F">
        <w:t>9</w:t>
      </w:r>
      <w:r>
        <w:t xml:space="preserve">kN. </w:t>
      </w:r>
    </w:p>
    <w:p w14:paraId="40556A32" w14:textId="74E6B160" w:rsidR="007F3FBC" w:rsidRDefault="00840AAB" w:rsidP="007F3FBC">
      <w:pPr>
        <w:spacing w:after="0"/>
      </w:pPr>
      <w:r>
        <w:t xml:space="preserve">Le rail peut être cintré. Les virages standards de 90° ont un rayon de </w:t>
      </w:r>
      <w:r w:rsidR="00411E9F">
        <w:t>60</w:t>
      </w:r>
      <w:r>
        <w:t>0mm.</w:t>
      </w:r>
    </w:p>
    <w:p w14:paraId="2A731B43" w14:textId="38935298" w:rsidR="00840AAB" w:rsidRDefault="00840AAB" w:rsidP="007F3FBC">
      <w:pPr>
        <w:spacing w:after="0"/>
      </w:pPr>
      <w:r>
        <w:t xml:space="preserve">Des virages sur mesure sont également possible.  </w:t>
      </w:r>
    </w:p>
    <w:p w14:paraId="06D456E8" w14:textId="77777777" w:rsidR="007F3FBC" w:rsidRDefault="007F3FBC" w:rsidP="007F3FBC">
      <w:pPr>
        <w:spacing w:after="0"/>
      </w:pPr>
    </w:p>
    <w:p w14:paraId="5130F6B2" w14:textId="01AA3239" w:rsidR="00840AAB" w:rsidRDefault="00840AAB" w:rsidP="007F3FBC">
      <w:pPr>
        <w:spacing w:after="0"/>
      </w:pPr>
      <w:r w:rsidRPr="00840AAB">
        <w:t xml:space="preserve">Un chariot </w:t>
      </w:r>
      <w:proofErr w:type="spellStart"/>
      <w:r w:rsidR="00411E9F">
        <w:t>SafeAccess</w:t>
      </w:r>
      <w:proofErr w:type="spellEnd"/>
      <w:r w:rsidRPr="00840AAB">
        <w:t xml:space="preserve"> avec</w:t>
      </w:r>
      <w:r>
        <w:t xml:space="preserve"> roulement à bille coulisse sur le rail.  L’utilisateur doit pouvoir circuler sur tout le long du système sans jamais se déconnecter. </w:t>
      </w:r>
    </w:p>
    <w:p w14:paraId="39D8CD0F" w14:textId="77777777" w:rsidR="00411E9F" w:rsidRDefault="00411E9F" w:rsidP="007F3FBC">
      <w:pPr>
        <w:spacing w:after="0"/>
      </w:pPr>
    </w:p>
    <w:p w14:paraId="6954C8FA" w14:textId="1407EE06" w:rsidR="0035129C" w:rsidRDefault="0035129C" w:rsidP="007F3FBC">
      <w:pPr>
        <w:spacing w:after="0"/>
      </w:pPr>
      <w:r>
        <w:t xml:space="preserve">Une plaque signalétique est installée sur chaque système. </w:t>
      </w:r>
    </w:p>
    <w:p w14:paraId="11E4CC56" w14:textId="77777777" w:rsidR="007F3FBC" w:rsidRPr="00840AAB" w:rsidRDefault="007F3FBC" w:rsidP="007F3FBC">
      <w:pPr>
        <w:spacing w:after="0"/>
      </w:pPr>
    </w:p>
    <w:p w14:paraId="685B96C0" w14:textId="3B82F0E7" w:rsidR="00A94C95" w:rsidRPr="002E558A" w:rsidRDefault="002E558A" w:rsidP="00AF327F">
      <w:r w:rsidRPr="002E558A">
        <w:t>Marque :</w:t>
      </w:r>
      <w:r w:rsidR="005D4371">
        <w:t xml:space="preserve"> Fallprotec</w:t>
      </w:r>
    </w:p>
    <w:p w14:paraId="1CB3375E" w14:textId="77DCD258" w:rsidR="002E558A" w:rsidRPr="002E558A" w:rsidRDefault="002E558A" w:rsidP="00AF327F">
      <w:r w:rsidRPr="002E558A">
        <w:t>Type :</w:t>
      </w:r>
      <w:r w:rsidR="005D4371">
        <w:t xml:space="preserve"> </w:t>
      </w:r>
      <w:proofErr w:type="spellStart"/>
      <w:r w:rsidR="00411E9F">
        <w:t>SafeAccess</w:t>
      </w:r>
      <w:proofErr w:type="spellEnd"/>
    </w:p>
    <w:p w14:paraId="225FCF0B" w14:textId="77777777" w:rsidR="002E558A" w:rsidRPr="002E558A" w:rsidRDefault="002E558A" w:rsidP="00AF327F">
      <w:r w:rsidRPr="002E558A">
        <w:t>Mètre</w:t>
      </w:r>
      <w:r>
        <w:t>s</w:t>
      </w:r>
      <w:r w:rsidRPr="002E558A">
        <w:t> :</w:t>
      </w:r>
    </w:p>
    <w:p w14:paraId="50968DD2" w14:textId="3170527E" w:rsidR="00D16EC7" w:rsidRPr="00E558AF" w:rsidRDefault="001150F2" w:rsidP="00AF327F">
      <w:pPr>
        <w:rPr>
          <w:b/>
        </w:rPr>
      </w:pPr>
      <w:r w:rsidRPr="00E558AF">
        <w:rPr>
          <w:b/>
        </w:rPr>
        <w:t xml:space="preserve"> Pos. XX.XXX : Interface de fixation </w:t>
      </w:r>
    </w:p>
    <w:p w14:paraId="18B0D121" w14:textId="61314515" w:rsidR="00A85132" w:rsidRDefault="00840AAB" w:rsidP="00AF327F">
      <w:r>
        <w:t xml:space="preserve">Le </w:t>
      </w:r>
      <w:proofErr w:type="spellStart"/>
      <w:r w:rsidR="00411E9F">
        <w:t>SafeAccess</w:t>
      </w:r>
      <w:proofErr w:type="spellEnd"/>
      <w:r>
        <w:t xml:space="preserve"> est connecté à une interface de fixation par des écrous</w:t>
      </w:r>
      <w:r w:rsidR="007F3FBC">
        <w:t xml:space="preserve"> </w:t>
      </w:r>
      <w:r w:rsidR="00411E9F">
        <w:t xml:space="preserve">à tête marteau en acier inoxydable. </w:t>
      </w:r>
    </w:p>
    <w:p w14:paraId="5F3E373C" w14:textId="11BEDE38" w:rsidR="007F3FBC" w:rsidRDefault="007F3FBC" w:rsidP="00AF327F">
      <w:r>
        <w:t>L’interface de fixation est adaptée au type de structure d’</w:t>
      </w:r>
      <w:r w:rsidR="00EE6E69">
        <w:t>accueil</w:t>
      </w:r>
      <w:r w:rsidR="00411E9F">
        <w:t xml:space="preserve">. Le </w:t>
      </w:r>
      <w:proofErr w:type="spellStart"/>
      <w:r w:rsidR="00411E9F">
        <w:t>SafeAccess</w:t>
      </w:r>
      <w:proofErr w:type="spellEnd"/>
      <w:r w:rsidR="00411E9F">
        <w:t xml:space="preserve"> est toujours fixé sur une structure rigide tel que du béton ou </w:t>
      </w:r>
      <w:r w:rsidR="00B361EA">
        <w:t>des poutres</w:t>
      </w:r>
      <w:r w:rsidR="00411E9F">
        <w:t xml:space="preserve"> en acier verticales ou horizontales. </w:t>
      </w:r>
      <w:r w:rsidR="00411E9F">
        <w:br/>
      </w:r>
      <w:r w:rsidR="00411E9F">
        <w:br/>
        <w:t xml:space="preserve">Si le </w:t>
      </w:r>
      <w:r w:rsidR="00B361EA">
        <w:t xml:space="preserve">quai de chargement est situé </w:t>
      </w:r>
      <w:r w:rsidR="00411E9F">
        <w:t>à l’extérieur et qu’il n’y a pas de structure d’accueil</w:t>
      </w:r>
      <w:r w:rsidR="00B361EA">
        <w:t xml:space="preserve"> à proximité, alors</w:t>
      </w:r>
      <w:r w:rsidR="00411E9F">
        <w:t xml:space="preserve"> l’installateur doit prévoir des </w:t>
      </w:r>
      <w:r w:rsidR="00B361EA">
        <w:t xml:space="preserve">potences de 6000mm de hauteur et de 2500mm de portée de type </w:t>
      </w:r>
      <w:proofErr w:type="spellStart"/>
      <w:r w:rsidR="00B361EA">
        <w:t>FlexBow</w:t>
      </w:r>
      <w:proofErr w:type="spellEnd"/>
      <w:r w:rsidR="00B361EA">
        <w:t xml:space="preserve">.  </w:t>
      </w:r>
      <w:r w:rsidR="00B361EA">
        <w:br/>
      </w:r>
      <w:r w:rsidR="00B361EA">
        <w:lastRenderedPageBreak/>
        <w:t xml:space="preserve">Ces potences sont ancrées dans un massif en béton dimensionné en fonctions de la configuration du site. </w:t>
      </w:r>
    </w:p>
    <w:p w14:paraId="1C6D0AA1" w14:textId="5E860E40" w:rsidR="007F3FBC" w:rsidRDefault="007F3FBC" w:rsidP="00AF327F">
      <w:r>
        <w:t xml:space="preserve">La distance entre supports </w:t>
      </w:r>
      <w:r w:rsidR="00B361EA">
        <w:t>est de max</w:t>
      </w:r>
      <w:r w:rsidR="00D238E8">
        <w:t>imum</w:t>
      </w:r>
      <w:r w:rsidR="00B361EA">
        <w:t xml:space="preserve"> 6000mm. </w:t>
      </w:r>
    </w:p>
    <w:p w14:paraId="782D24C4" w14:textId="1DEDE95C" w:rsidR="007F3FBC" w:rsidRDefault="007F3FBC" w:rsidP="00AF327F">
      <w:r>
        <w:t xml:space="preserve">Les supports doivent être indéformable en cas de chute. </w:t>
      </w:r>
      <w:r>
        <w:br/>
      </w:r>
      <w:r>
        <w:br/>
        <w:t xml:space="preserve">Les supports sont soit en acier galvanisé à chaud </w:t>
      </w:r>
      <w:r w:rsidR="00D238E8">
        <w:t xml:space="preserve">ou en acier inoxydable </w:t>
      </w:r>
      <w:r w:rsidR="00B361EA">
        <w:t xml:space="preserve">et peuvent être thermolaqué RAL1023 (jaune signalétique) sur demande. </w:t>
      </w:r>
    </w:p>
    <w:p w14:paraId="62C030D1" w14:textId="77777777" w:rsidR="007F3FBC" w:rsidRDefault="007F3FBC" w:rsidP="007F3FBC">
      <w:r>
        <w:t xml:space="preserve">La prestation comprend les plans d’implantation, la fourniture, l’installation et la réception par un organisme de contrôle agrée ou une personne compétente autorisée par le fabricant du système. </w:t>
      </w:r>
    </w:p>
    <w:p w14:paraId="52539157" w14:textId="54F77675" w:rsidR="00A94C95" w:rsidRDefault="002E558A" w:rsidP="00AF327F">
      <w:r>
        <w:t>Marque :</w:t>
      </w:r>
      <w:r w:rsidR="00B361EA" w:rsidRPr="005D4371">
        <w:t xml:space="preserve"> </w:t>
      </w:r>
      <w:r w:rsidR="00B361EA">
        <w:t>Fallprotec</w:t>
      </w:r>
    </w:p>
    <w:p w14:paraId="5F395E39" w14:textId="00805DD7" w:rsidR="005D4371" w:rsidRPr="002E558A" w:rsidRDefault="002E558A" w:rsidP="005D4371">
      <w:r>
        <w:t>Type :</w:t>
      </w:r>
      <w:r w:rsidR="005D4371">
        <w:t xml:space="preserve"> </w:t>
      </w:r>
      <w:proofErr w:type="spellStart"/>
      <w:r w:rsidR="00B361EA">
        <w:t>SafeAccess</w:t>
      </w:r>
      <w:proofErr w:type="spellEnd"/>
      <w:r w:rsidR="005D4371">
        <w:t xml:space="preserve"> </w:t>
      </w:r>
    </w:p>
    <w:p w14:paraId="503D32F2" w14:textId="77777777" w:rsidR="002E558A" w:rsidRDefault="003F15DD" w:rsidP="00AF327F">
      <w:proofErr w:type="gramStart"/>
      <w:r>
        <w:t>Unités</w:t>
      </w:r>
      <w:r w:rsidR="002E558A">
        <w:t>:</w:t>
      </w:r>
      <w:proofErr w:type="gramEnd"/>
    </w:p>
    <w:p w14:paraId="56D85D08" w14:textId="77777777" w:rsidR="00A85132" w:rsidRPr="00E558AF" w:rsidRDefault="00A85132" w:rsidP="00AF327F">
      <w:pPr>
        <w:rPr>
          <w:b/>
        </w:rPr>
      </w:pPr>
      <w:r w:rsidRPr="00E558AF">
        <w:rPr>
          <w:b/>
        </w:rPr>
        <w:t xml:space="preserve"> Pos. XX.XXX : Equipement de protection individuelle</w:t>
      </w:r>
      <w:r w:rsidR="00165E82" w:rsidRPr="00E558AF">
        <w:rPr>
          <w:b/>
        </w:rPr>
        <w:t xml:space="preserve"> (E.P.I.)</w:t>
      </w:r>
    </w:p>
    <w:p w14:paraId="4575E40E" w14:textId="77777777" w:rsidR="00A85132" w:rsidRDefault="00175C80" w:rsidP="00AF327F">
      <w:r>
        <w:t xml:space="preserve">L’installateur remet un </w:t>
      </w:r>
      <w:r w:rsidR="00165E82">
        <w:t>casier pour ranger les E.P.I. Ce casier contient :</w:t>
      </w:r>
    </w:p>
    <w:p w14:paraId="56BAD95B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2 harnais conforme à EN361</w:t>
      </w:r>
    </w:p>
    <w:p w14:paraId="593163F4" w14:textId="0F0E3A4E" w:rsidR="00165E82" w:rsidRDefault="00165E82" w:rsidP="00165E82">
      <w:pPr>
        <w:pStyle w:val="Paragraphedeliste"/>
        <w:numPr>
          <w:ilvl w:val="0"/>
          <w:numId w:val="2"/>
        </w:numPr>
      </w:pPr>
      <w:r>
        <w:t xml:space="preserve">2 </w:t>
      </w:r>
      <w:proofErr w:type="spellStart"/>
      <w:r w:rsidR="00B361EA">
        <w:t>antichutes</w:t>
      </w:r>
      <w:proofErr w:type="spellEnd"/>
      <w:r w:rsidR="00B361EA">
        <w:t xml:space="preserve"> rétractables conforme à EN360</w:t>
      </w:r>
    </w:p>
    <w:p w14:paraId="56D4770F" w14:textId="77777777" w:rsidR="00165E82" w:rsidRDefault="00165E82" w:rsidP="00165E82">
      <w:pPr>
        <w:pStyle w:val="Paragraphedeliste"/>
        <w:numPr>
          <w:ilvl w:val="0"/>
          <w:numId w:val="2"/>
        </w:numPr>
      </w:pPr>
      <w:r>
        <w:t>4 mousquetons conformes à EN362</w:t>
      </w:r>
    </w:p>
    <w:p w14:paraId="2FE8581C" w14:textId="5A7DF6A6" w:rsidR="00165E82" w:rsidRDefault="00165E82" w:rsidP="00165E82">
      <w:pPr>
        <w:pStyle w:val="Paragraphedeliste"/>
        <w:numPr>
          <w:ilvl w:val="0"/>
          <w:numId w:val="2"/>
        </w:numPr>
      </w:pPr>
      <w:r>
        <w:t xml:space="preserve">2 </w:t>
      </w:r>
      <w:r w:rsidR="0035129C">
        <w:t xml:space="preserve">chariots </w:t>
      </w:r>
      <w:proofErr w:type="spellStart"/>
      <w:r w:rsidR="00D238E8">
        <w:t>SafeAccess</w:t>
      </w:r>
      <w:proofErr w:type="spellEnd"/>
      <w:r w:rsidR="00D238E8">
        <w:t xml:space="preserve"> conforme</w:t>
      </w:r>
      <w:r>
        <w:t xml:space="preserve"> à EN795 : 2012 Type </w:t>
      </w:r>
      <w:r w:rsidR="0035129C">
        <w:t>D</w:t>
      </w:r>
    </w:p>
    <w:p w14:paraId="0E3CEA6B" w14:textId="77777777" w:rsidR="00ED4324" w:rsidRDefault="00ED4324" w:rsidP="00ED4324">
      <w:r>
        <w:t xml:space="preserve">Note : Si le rail au plafond est difficilement accessible, alors le chariot et l’antichute rétractable doivent rester de manière permanente sur le rail. Cela peut influencer les quantités. </w:t>
      </w:r>
    </w:p>
    <w:p w14:paraId="7F8905F5" w14:textId="348851A7" w:rsidR="00165E82" w:rsidRDefault="002E558A" w:rsidP="002E558A">
      <w:pPr>
        <w:spacing w:after="0"/>
      </w:pPr>
      <w:r>
        <w:t>Marque :</w:t>
      </w:r>
      <w:r w:rsidR="00B361EA" w:rsidRPr="005D4371">
        <w:t xml:space="preserve"> </w:t>
      </w:r>
      <w:r w:rsidR="00B361EA">
        <w:t>Fallprotec</w:t>
      </w:r>
    </w:p>
    <w:p w14:paraId="46B67566" w14:textId="4C795747" w:rsidR="00A85132" w:rsidRDefault="002E558A" w:rsidP="00C06F2A">
      <w:pPr>
        <w:spacing w:after="0"/>
      </w:pPr>
      <w:r>
        <w:t>Type :</w:t>
      </w:r>
      <w:r w:rsidR="00B361EA">
        <w:t xml:space="preserve"> </w:t>
      </w:r>
      <w:proofErr w:type="spellStart"/>
      <w:r w:rsidR="00B361EA">
        <w:t>Prolight</w:t>
      </w:r>
      <w:proofErr w:type="spellEnd"/>
    </w:p>
    <w:sectPr w:rsidR="00A85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E74AE6"/>
    <w:multiLevelType w:val="hybridMultilevel"/>
    <w:tmpl w:val="5AE209E0"/>
    <w:lvl w:ilvl="0" w:tplc="D8BE76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91662D"/>
    <w:multiLevelType w:val="hybridMultilevel"/>
    <w:tmpl w:val="23D85DC2"/>
    <w:lvl w:ilvl="0" w:tplc="62B2C3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27F"/>
    <w:rsid w:val="000004A7"/>
    <w:rsid w:val="00011FD3"/>
    <w:rsid w:val="000F414F"/>
    <w:rsid w:val="001150F2"/>
    <w:rsid w:val="001223F8"/>
    <w:rsid w:val="00151E87"/>
    <w:rsid w:val="00165E82"/>
    <w:rsid w:val="00175C80"/>
    <w:rsid w:val="001B44C8"/>
    <w:rsid w:val="001C3E14"/>
    <w:rsid w:val="00251CBB"/>
    <w:rsid w:val="002960FB"/>
    <w:rsid w:val="002E558A"/>
    <w:rsid w:val="0035129C"/>
    <w:rsid w:val="003D3900"/>
    <w:rsid w:val="003D403B"/>
    <w:rsid w:val="003F15DD"/>
    <w:rsid w:val="00411E9F"/>
    <w:rsid w:val="004C5C4B"/>
    <w:rsid w:val="004C73DF"/>
    <w:rsid w:val="005B7A87"/>
    <w:rsid w:val="005D4371"/>
    <w:rsid w:val="0061234C"/>
    <w:rsid w:val="00621006"/>
    <w:rsid w:val="006908D8"/>
    <w:rsid w:val="007F3FBC"/>
    <w:rsid w:val="00840AAB"/>
    <w:rsid w:val="008F4CFD"/>
    <w:rsid w:val="00907414"/>
    <w:rsid w:val="00A27067"/>
    <w:rsid w:val="00A85132"/>
    <w:rsid w:val="00A94C95"/>
    <w:rsid w:val="00AF327F"/>
    <w:rsid w:val="00B361EA"/>
    <w:rsid w:val="00B77905"/>
    <w:rsid w:val="00BB4DD9"/>
    <w:rsid w:val="00BF0D72"/>
    <w:rsid w:val="00BF1448"/>
    <w:rsid w:val="00C06F2A"/>
    <w:rsid w:val="00CB0A79"/>
    <w:rsid w:val="00D16EC7"/>
    <w:rsid w:val="00D234FE"/>
    <w:rsid w:val="00D238E8"/>
    <w:rsid w:val="00E558AF"/>
    <w:rsid w:val="00E77BDA"/>
    <w:rsid w:val="00ED4324"/>
    <w:rsid w:val="00ED48F2"/>
    <w:rsid w:val="00EE6E69"/>
    <w:rsid w:val="00F44100"/>
    <w:rsid w:val="00F9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CCEF"/>
  <w15:docId w15:val="{9F11657D-F073-4CEA-ABEE-13FA6E523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F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0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518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Invité</dc:creator>
  <cp:keywords/>
  <dc:description/>
  <cp:lastModifiedBy>Rémi Timmermans</cp:lastModifiedBy>
  <cp:revision>20</cp:revision>
  <dcterms:created xsi:type="dcterms:W3CDTF">2015-03-23T14:59:00Z</dcterms:created>
  <dcterms:modified xsi:type="dcterms:W3CDTF">2020-01-02T11:45:00Z</dcterms:modified>
</cp:coreProperties>
</file>